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 w:line="417" w:lineRule="auto"/>
        <w:ind w:left="2545" w:right="1330" w:hanging="11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徽文院（中国史）202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年硕博连读与申请审核制博士研究生选拨工作细则</w:t>
      </w:r>
    </w:p>
    <w:p>
      <w:pPr>
        <w:pStyle w:val="4"/>
        <w:spacing w:before="2"/>
        <w:ind w:left="0"/>
        <w:rPr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02" w:lineRule="auto"/>
        <w:ind w:right="265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根据《安徽大学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年硕博连读与申请审核制博士研究生选拔工作实施办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法》和徽文院（徽学研究中心）实际，制定本办法。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一、硕博连读选拨基本条件</w:t>
      </w:r>
    </w:p>
    <w:p>
      <w:pPr>
        <w:pStyle w:val="4"/>
        <w:spacing w:before="94" w:line="302" w:lineRule="auto"/>
        <w:ind w:right="237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拥护中国共产党的领导，具有正确的政治方向，热爱祖国，愿意为社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会主义现代化建设服务，遵纪守法，品行端正，身心健康。</w:t>
      </w:r>
    </w:p>
    <w:p>
      <w:pPr>
        <w:pStyle w:val="4"/>
        <w:spacing w:before="2" w:line="302" w:lineRule="auto"/>
        <w:ind w:right="237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（二）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硕博连读博士生申请人第一学历须为全日制本科毕业并获得学士学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位，且为我校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>全日制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>级在读本专业学术型硕士研究生或应届硕士毕业生，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 xml:space="preserve">并于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8"/>
          <w14:textFill>
            <w14:solidFill>
              <w14:schemeClr w14:val="tx1"/>
            </w14:solidFill>
          </w14:textFill>
        </w:rPr>
        <w:t xml:space="preserve"> 年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月前完成硕士培养计划规定的所有课程学习和学分，</w:t>
      </w:r>
      <w:r>
        <w:rPr>
          <w:rFonts w:hint="eastAsia"/>
          <w:color w:val="000000" w:themeColor="text1"/>
          <w:spacing w:val="-9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学期课程考试无补考,课程学习成绩优秀。申请硕博连读的我校应届硕士毕业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生，不做硕士学位论文，不授予硕士学位。</w:t>
      </w:r>
    </w:p>
    <w:p>
      <w:pPr>
        <w:pStyle w:val="4"/>
        <w:spacing w:before="4" w:line="302" w:lineRule="auto"/>
        <w:ind w:right="237" w:firstLine="48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（三）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对学术研究有浓厚兴趣，具有较强创新精神和科研能力；应在硕士期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间以第一作者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（或独撰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发表与所报考专业相同或相近的学术论文，省级期刊不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 xml:space="preserve">少于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篇或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CSSCI</w:t>
      </w:r>
      <w:r>
        <w:rPr>
          <w:color w:val="000000" w:themeColor="text1"/>
          <w:spacing w:val="-24"/>
          <w14:textFill>
            <w14:solidFill>
              <w14:schemeClr w14:val="tx1"/>
            </w14:solidFill>
          </w14:textFill>
        </w:rPr>
        <w:t xml:space="preserve"> 类期刊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 xml:space="preserve"> 篇。</w:t>
      </w:r>
      <w:bookmarkStart w:id="0" w:name="_GoBack"/>
      <w:bookmarkEnd w:id="0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二、申请审核制选拔基本条件</w:t>
      </w:r>
    </w:p>
    <w:p>
      <w:pPr>
        <w:pStyle w:val="4"/>
        <w:spacing w:before="94" w:line="302" w:lineRule="auto"/>
        <w:ind w:right="237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拥护中国共产党的领导，具有正确的政治方向，热爱祖国，愿意为社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会主义现代化建设服务，遵纪守法，品行端正，身心健康。</w:t>
      </w:r>
    </w:p>
    <w:p>
      <w:pPr>
        <w:pStyle w:val="4"/>
        <w:spacing w:before="3" w:line="302" w:lineRule="auto"/>
        <w:ind w:right="237" w:firstLine="480"/>
        <w:rPr>
          <w:color w:val="auto"/>
          <w:spacing w:val="-8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auto"/>
          <w:spacing w:val="-8"/>
        </w:rPr>
        <w:t>二）</w:t>
      </w:r>
      <w:r>
        <w:rPr>
          <w:rFonts w:hint="eastAsia"/>
          <w:color w:val="auto"/>
          <w:spacing w:val="-8"/>
        </w:rPr>
        <w:t>申请审核制博士生申请人</w:t>
      </w:r>
      <w:r>
        <w:rPr>
          <w:rFonts w:hint="eastAsia"/>
          <w:color w:val="auto"/>
          <w:spacing w:val="-8"/>
          <w:lang w:eastAsia="zh-CN"/>
        </w:rPr>
        <w:t>为</w:t>
      </w:r>
      <w:r>
        <w:rPr>
          <w:rFonts w:hint="eastAsia"/>
          <w:color w:val="auto"/>
          <w:spacing w:val="-8"/>
        </w:rPr>
        <w:t>硕士研究生毕业或已获硕士学位的人员</w:t>
      </w:r>
      <w:r>
        <w:rPr>
          <w:rFonts w:hint="default"/>
          <w:color w:val="auto"/>
          <w:spacing w:val="-8"/>
        </w:rPr>
        <w:t>或应届硕士毕业生（最迟须在入学前毕业或取得硕士学位）</w:t>
      </w:r>
      <w:r>
        <w:rPr>
          <w:color w:val="auto"/>
          <w:spacing w:val="-8"/>
        </w:rPr>
        <w:t>。</w:t>
      </w:r>
    </w:p>
    <w:p>
      <w:pPr>
        <w:pStyle w:val="4"/>
        <w:spacing w:before="5" w:line="302" w:lineRule="auto"/>
        <w:ind w:right="237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（三）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具有较强的科研能力、业务能力和科研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潜质，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以第一作者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（或独撰）发表与所报考专业相同或相近的学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术论文，省级期刊不少于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篇或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CSSCI</w:t>
      </w:r>
      <w:r>
        <w:rPr>
          <w:color w:val="000000" w:themeColor="text1"/>
          <w:spacing w:val="-24"/>
          <w14:textFill>
            <w14:solidFill>
              <w14:schemeClr w14:val="tx1"/>
            </w14:solidFill>
          </w14:textFill>
        </w:rPr>
        <w:t xml:space="preserve"> 类期刊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 xml:space="preserve"> 篇。</w:t>
      </w:r>
    </w:p>
    <w:p>
      <w:pPr>
        <w:pStyle w:val="2"/>
        <w:spacing w:before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三、招生导师及限额</w:t>
      </w:r>
    </w:p>
    <w:p>
      <w:pPr>
        <w:pStyle w:val="4"/>
        <w:spacing w:before="94" w:line="302" w:lineRule="auto"/>
        <w:ind w:right="117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</w:t>
      </w:r>
      <w:r>
        <w:rPr>
          <w:color w:val="000000" w:themeColor="text1"/>
          <w:spacing w:val="-10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招收硕博连读与申请审核制博士研究生的导师，须取得当年招生资格。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每位博士生导师每年只能招收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名博士研究生。</w:t>
      </w:r>
    </w:p>
    <w:p>
      <w:pPr>
        <w:pStyle w:val="4"/>
        <w:spacing w:before="5"/>
        <w:ind w:left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（二）徽文院中国史专业招收硕博连读及申请审核制博士研究生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人，其中</w:t>
      </w:r>
    </w:p>
    <w:p>
      <w:pPr>
        <w:pStyle w:val="4"/>
        <w:spacing w:before="82" w:line="302" w:lineRule="auto"/>
        <w:ind w:right="26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指标单列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人。研究方向、招生导师等见《安徽大学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年博士研究生招生专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业目录》。</w:t>
      </w:r>
    </w:p>
    <w:p>
      <w:pPr>
        <w:pStyle w:val="2"/>
        <w:spacing w:before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四、考核程序</w:t>
      </w:r>
    </w:p>
    <w:p>
      <w:pPr>
        <w:pStyle w:val="4"/>
        <w:spacing w:before="94" w:line="302" w:lineRule="auto"/>
        <w:ind w:right="237" w:firstLine="480"/>
        <w:jc w:val="both"/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sectPr>
          <w:footerReference r:id="rId5" w:type="default"/>
          <w:type w:val="continuous"/>
          <w:pgSz w:w="11910" w:h="16840"/>
          <w:pgMar w:top="1520" w:right="1560" w:bottom="1180" w:left="1580" w:header="720" w:footer="1000" w:gutter="0"/>
          <w:pgNumType w:start="1"/>
          <w:cols w:space="720" w:num="1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徽文院成立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年中国史专业硕博连读和申请审核制博士生的选拔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>小组，负责组织本次考核选拔工作，对各项重大事项和争议做出决定和裁决。小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组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成员由不少于五人的副教授及以上职称（含）专家组成，成员包括该学科负责</w:t>
      </w:r>
    </w:p>
    <w:p>
      <w:pPr>
        <w:pStyle w:val="4"/>
        <w:spacing w:before="43" w:line="302" w:lineRule="auto"/>
        <w:ind w:left="240" w:leftChars="109" w:right="145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人、博士生导师、招生导师等。徽文院党总支对选拔小组的工作进行全程监督，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但不参与打分。</w:t>
      </w:r>
    </w:p>
    <w:p>
      <w:pPr>
        <w:pStyle w:val="4"/>
        <w:spacing w:before="5" w:line="302" w:lineRule="auto"/>
        <w:ind w:right="145" w:firstLine="48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"http://yz.chsi.com.cn/"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（二）申请人登录中国研究生招生信息网（http://yz.chsi.com.cn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），进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行网上报名、缴费，并提交相关材料到徽文院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徽学研究中心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审核。申请人应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提交考核的电子版和纸质版材料清单：下列所有材料均需提供电子版和纸质版，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"mailto:%E7%94%B5%E5%AD%90%E7%89%88%E5%8F%91%E9%80%81318406358@qq.com"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电子版发送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00042@ahu.edu.cn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；纸质版使用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EMS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快递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寄到：安徽省合肥市肥西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路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号安徽大学龙河校区问津楼徽学研究中心，陈老师收，电话13956962535</w:t>
      </w:r>
      <w:r>
        <w:rPr>
          <w:rFonts w:hint="eastAsia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101" w:after="0" w:line="316" w:lineRule="auto"/>
        <w:ind w:right="115" w:rightChars="0"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身份证、报考证、高等教育各阶段毕业证书和学位证书（应届生为学生证和所在单位研究生院或研究生部开具的在读证明</w:t>
      </w:r>
      <w:r>
        <w:rPr>
          <w:color w:val="000000" w:themeColor="text1"/>
          <w:spacing w:val="-72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、重要获奖证书、荣誉证书、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英语四（或六）级证书或其他外语水平证明材料的电子扫描件、复印件；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101" w:after="0" w:line="316" w:lineRule="auto"/>
        <w:ind w:right="115" w:rightChars="0"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2.历届生需提交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硕士学位论文全文复印件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应届生需提交学位论文开题报告及所撰写的学位论文部分章节。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99" w:after="0" w:line="316" w:lineRule="auto"/>
        <w:ind w:right="225" w:rightChars="0" w:firstLine="480" w:firstLineChars="200"/>
        <w:jc w:val="both"/>
        <w:rPr>
          <w:rFonts w:ascii="Verdana" w:eastAsia="Verdana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用于计算学术科研成绩的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论著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的封面、目录、版权页、封底，论文全文</w:t>
      </w:r>
      <w:r>
        <w:rPr>
          <w:color w:val="000000" w:themeColor="text1"/>
          <w:spacing w:val="-17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。上述材料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>同时需要提交</w:t>
      </w:r>
      <w:r>
        <w:rPr>
          <w:rFonts w:hint="eastAsia"/>
          <w:color w:val="000000" w:themeColor="text1"/>
          <w:spacing w:val="-8"/>
          <w:sz w:val="24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>供审核</w:t>
      </w:r>
      <w:r>
        <w:rPr>
          <w:rFonts w:hint="eastAsia"/>
          <w:color w:val="000000" w:themeColor="text1"/>
          <w:spacing w:val="-8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0" w:after="0" w:line="304" w:lineRule="exact"/>
        <w:ind w:right="0" w:rightChars="0" w:firstLine="452" w:firstLineChars="200"/>
        <w:jc w:val="both"/>
        <w:rPr>
          <w:rFonts w:ascii="Verdana" w:eastAsia="Verdana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7"/>
          <w:sz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博士生科研计划书一式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24"/>
          <w:sz w:val="24"/>
          <w14:textFill>
            <w14:solidFill>
              <w14:schemeClr w14:val="tx1"/>
            </w14:solidFill>
          </w14:textFill>
        </w:rPr>
        <w:t xml:space="preserve"> 份，约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-5000</w:t>
      </w:r>
      <w:r>
        <w:rPr>
          <w:color w:val="000000" w:themeColor="text1"/>
          <w:spacing w:val="-20"/>
          <w:sz w:val="24"/>
          <w14:textFill>
            <w14:solidFill>
              <w14:schemeClr w14:val="tx1"/>
            </w14:solidFill>
          </w14:textFill>
        </w:rPr>
        <w:t xml:space="preserve"> 字。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98" w:after="0" w:line="316" w:lineRule="auto"/>
        <w:ind w:right="240" w:rightChars="0" w:firstLine="464" w:firstLineChars="20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具有高级职称专家签名的推荐信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封，提供扫描电子版和纸质版，并提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供专家联系方式便于查验。</w:t>
      </w:r>
    </w:p>
    <w:p>
      <w:pPr>
        <w:pStyle w:val="8"/>
        <w:numPr>
          <w:ilvl w:val="0"/>
          <w:numId w:val="0"/>
        </w:numPr>
        <w:tabs>
          <w:tab w:val="left" w:pos="1060"/>
        </w:tabs>
        <w:spacing w:before="0" w:after="0" w:line="252" w:lineRule="exact"/>
        <w:ind w:right="0" w:rightChars="0" w:firstLine="456" w:firstLineChars="20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网上报名成功后的《报名信息表》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从报名系统下载，需考生本人签字、</w:t>
      </w:r>
    </w:p>
    <w:p>
      <w:pPr>
        <w:pStyle w:val="4"/>
        <w:spacing w:before="81" w:line="304" w:lineRule="auto"/>
        <w:ind w:right="23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单位人事或政工部门盖章</w:t>
      </w:r>
      <w:r>
        <w:rPr>
          <w:color w:val="000000" w:themeColor="text1"/>
          <w:spacing w:val="-20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>。填写完整的《硕博连读申请表》或《申请审核制申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请表》（从报名网站下载，需考生本人签字、单位人事或政工部门盖章）。</w:t>
      </w:r>
    </w:p>
    <w:p>
      <w:pPr>
        <w:pStyle w:val="4"/>
        <w:spacing w:line="268" w:lineRule="exact"/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（三）选拔小组根据申请人提交的材料进行初审，审核其政治素质和思想品</w:t>
      </w:r>
    </w:p>
    <w:p>
      <w:pPr>
        <w:pStyle w:val="4"/>
        <w:spacing w:before="81" w:line="302" w:lineRule="auto"/>
        <w:ind w:right="23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格，按其基本条件确定入围面试人选，人选名单同时在徽文院网站和中国徽学网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>主页上公布。徽文院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（徽学研究中心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将通过电话和电子邮件通知考生面试时间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和地点，未通过初审的申请人将不再进行电话和电子邮件通知。</w:t>
      </w:r>
    </w:p>
    <w:p>
      <w:pPr>
        <w:pStyle w:val="4"/>
        <w:spacing w:before="4" w:line="302" w:lineRule="auto"/>
        <w:ind w:right="237"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（四）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选拔小组与徽文院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（徽学研究中心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教授委员会组建“科研计分审核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统计小组”</w:t>
      </w:r>
      <w:r>
        <w:rPr>
          <w:rFonts w:hint="eastAsia"/>
          <w:color w:val="000000" w:themeColor="text1"/>
          <w:spacing w:val="-1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10"/>
          <w:lang w:val="en-US" w:eastAsia="zh-CN"/>
          <w14:textFill>
            <w14:solidFill>
              <w14:schemeClr w14:val="tx1"/>
            </w14:solidFill>
          </w14:textFill>
        </w:rPr>
        <w:t>负责审核、统计科研计分。统计结果须经选拔小组与教授委员会审核通过。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所有申请人的科研计分统计与审核工作应当在举行复试前完成。</w:t>
      </w:r>
    </w:p>
    <w:p>
      <w:pPr>
        <w:pStyle w:val="4"/>
        <w:spacing w:before="8"/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（五）面试考核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122" w:after="0" w:line="240" w:lineRule="auto"/>
        <w:ind w:left="1060" w:right="0" w:hanging="36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面试考核对象为通过初审的考生。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82" w:after="0" w:line="240" w:lineRule="auto"/>
        <w:ind w:left="1060" w:right="0" w:hanging="36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面试考核方式为线上视频进行。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83" w:after="0" w:line="240" w:lineRule="auto"/>
        <w:ind w:left="1060" w:right="0" w:hanging="36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面试考核主要考核申请人的科研能力、学术潜质、外语水平和综合素质。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82" w:after="0" w:line="240" w:lineRule="auto"/>
        <w:ind w:left="1060" w:right="0" w:hanging="360"/>
        <w:jc w:val="left"/>
        <w:rPr>
          <w:rFonts w:ascii="Verdana" w:eastAsia="Verdana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面试考核实行百分制，由面试专家组合议评分（</w:t>
      </w:r>
      <w:r>
        <w:rPr>
          <w:color w:val="000000" w:themeColor="text1"/>
          <w:spacing w:val="-19"/>
          <w:sz w:val="24"/>
          <w14:textFill>
            <w14:solidFill>
              <w14:schemeClr w14:val="tx1"/>
            </w14:solidFill>
          </w14:textFill>
        </w:rPr>
        <w:t xml:space="preserve">去掉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17"/>
          <w:sz w:val="24"/>
          <w14:textFill>
            <w14:solidFill>
              <w14:schemeClr w14:val="tx1"/>
            </w14:solidFill>
          </w14:textFill>
        </w:rPr>
        <w:t xml:space="preserve"> 个最高分和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28"/>
          <w:sz w:val="24"/>
          <w14:textFill>
            <w14:solidFill>
              <w14:schemeClr w14:val="tx1"/>
            </w14:solidFill>
          </w14:textFill>
        </w:rPr>
        <w:t xml:space="preserve"> 个</w:t>
      </w:r>
    </w:p>
    <w:p>
      <w:pPr>
        <w:spacing w:after="0" w:line="240" w:lineRule="auto"/>
        <w:jc w:val="left"/>
        <w:rPr>
          <w:rFonts w:ascii="Verdana" w:eastAsia="Verdana"/>
          <w:color w:val="000000" w:themeColor="text1"/>
          <w:sz w:val="21"/>
          <w14:textFill>
            <w14:solidFill>
              <w14:schemeClr w14:val="tx1"/>
            </w14:solidFill>
          </w14:textFill>
        </w:rPr>
        <w:sectPr>
          <w:pgSz w:w="11910" w:h="16840"/>
          <w:pgMar w:top="1380" w:right="1560" w:bottom="1180" w:left="1580" w:header="0" w:footer="1000" w:gutter="0"/>
          <w:cols w:space="720" w:num="1"/>
        </w:sectPr>
      </w:pPr>
    </w:p>
    <w:p>
      <w:pPr>
        <w:pStyle w:val="4"/>
        <w:spacing w:before="4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最低分后计算平均分）。分数相同者，科研分高者优先。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83" w:after="0" w:line="302" w:lineRule="auto"/>
        <w:ind w:left="220" w:right="237" w:firstLine="48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面试时间：每位考生的面试时间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分钟，面试全程录音</w:t>
      </w:r>
      <w:r>
        <w:rPr>
          <w:rFonts w:hint="eastAsia"/>
          <w:color w:val="000000" w:themeColor="text1"/>
          <w:spacing w:val="-13"/>
          <w:sz w:val="24"/>
          <w:lang w:val="en-US" w:eastAsia="zh-CN"/>
          <w14:textFill>
            <w14:solidFill>
              <w14:schemeClr w14:val="tx1"/>
            </w14:solidFill>
          </w14:textFill>
        </w:rPr>
        <w:t>录像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>，并安排专人做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好面试记录。</w:t>
      </w:r>
    </w:p>
    <w:p>
      <w:pPr>
        <w:pStyle w:val="8"/>
        <w:numPr>
          <w:ilvl w:val="0"/>
          <w:numId w:val="1"/>
        </w:numPr>
        <w:tabs>
          <w:tab w:val="left" w:pos="1060"/>
        </w:tabs>
        <w:spacing w:before="5" w:after="0" w:line="304" w:lineRule="auto"/>
        <w:ind w:left="220" w:right="237" w:firstLine="48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在面试中，考生需进行个人介绍，具体内容包括学术简历、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>博士阶段科研计划等，并回答面试专家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>的提问。面试考察申请人综合运用所学知识的能力、科研创新能力、对本学科前沿领域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>及最新研究动态的掌握情况等，并对考生进行外国语能力测试。选拔中还应参考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考生申请材料审核情况，对其进行综合测评，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五、公示与审定。</w:t>
      </w:r>
    </w:p>
    <w:p>
      <w:pPr>
        <w:pStyle w:val="4"/>
        <w:spacing w:before="84"/>
        <w:ind w:left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所有参加复试考生的复试成绩在本单位网站上公示不少于 5 个工作日，无异</w:t>
      </w:r>
    </w:p>
    <w:p>
      <w:pPr>
        <w:pStyle w:val="4"/>
        <w:spacing w:before="81" w:line="304" w:lineRule="auto"/>
        <w:ind w:right="23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议后报送研究生招生办公室，由学校审定后，在研究生院网站公示不少于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 xml:space="preserve"> 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工作日。</w:t>
      </w:r>
    </w:p>
    <w:p>
      <w:pPr>
        <w:pStyle w:val="3"/>
        <w:spacing w:line="30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六、评分与排序</w:t>
      </w:r>
    </w:p>
    <w:p>
      <w:pPr>
        <w:pStyle w:val="4"/>
        <w:spacing w:before="84" w:line="304" w:lineRule="auto"/>
        <w:ind w:right="237" w:firstLine="48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科研能力根据其提交的科研成果进行打分，打分标准参见附件《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2021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年安徽大学徽文院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（中国史</w:t>
      </w:r>
      <w:r>
        <w:rPr>
          <w:color w:val="000000" w:themeColor="text1"/>
          <w:spacing w:val="-46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硕博连读与申请审核制博士研究生选拔学术科研成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绩计分细则》</w:t>
      </w:r>
      <w:r>
        <w:rPr>
          <w:rFonts w:hint="eastAsia"/>
          <w:color w:val="000000" w:themeColor="text1"/>
          <w:spacing w:val="-5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5"/>
          <w:lang w:val="en-US" w:eastAsia="zh-CN"/>
          <w14:textFill>
            <w14:solidFill>
              <w14:schemeClr w14:val="tx1"/>
            </w14:solidFill>
          </w14:textFill>
        </w:rPr>
        <w:t>一百分封顶，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其权重为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0.5。</w:t>
      </w:r>
    </w:p>
    <w:p>
      <w:pPr>
        <w:pStyle w:val="4"/>
        <w:spacing w:line="304" w:lineRule="auto"/>
        <w:ind w:right="115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（二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学术潜质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（40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分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考核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根据申请人研究方向和科研规划进行打分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外语水平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（20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分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）考核</w:t>
      </w:r>
      <w:r>
        <w:rPr>
          <w:rFonts w:hint="eastAsia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22"/>
          <w:lang w:val="en-US" w:eastAsia="zh-CN"/>
          <w14:textFill>
            <w14:solidFill>
              <w14:schemeClr w14:val="tx1"/>
            </w14:solidFill>
          </w14:textFill>
        </w:rPr>
        <w:t>通过线上面试</w:t>
      </w:r>
      <w:r>
        <w:rPr>
          <w:color w:val="000000" w:themeColor="text1"/>
          <w:spacing w:val="-22"/>
          <w14:textFill>
            <w14:solidFill>
              <w14:schemeClr w14:val="tx1"/>
            </w14:solidFill>
          </w14:textFill>
        </w:rPr>
        <w:t>测评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；综合素质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（40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）考核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根据考生提供的资料，考查其思想、行为、能力、状态等，判断考生是否具备博士生培养的潜能和素质。其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权重为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0.5。</w:t>
      </w:r>
    </w:p>
    <w:p>
      <w:pPr>
        <w:pStyle w:val="4"/>
        <w:spacing w:line="304" w:lineRule="auto"/>
        <w:ind w:right="115" w:firstLine="480"/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（三）考生面试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阶段</w:t>
      </w:r>
      <w:r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成绩相同者，科研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成果</w:t>
      </w:r>
      <w:r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分高者优先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录取</w:t>
      </w:r>
      <w:r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0" w:line="302" w:lineRule="auto"/>
        <w:ind w:left="700" w:right="3025" w:firstLine="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七、其他事宜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1" w:after="0" w:line="302" w:lineRule="auto"/>
        <w:ind w:left="220" w:right="237" w:firstLine="48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录取为申请审核制的应届硕士研究生，须在当年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pacing w:val="-40"/>
          <w:sz w:val="24"/>
          <w14:textFill>
            <w14:solidFill>
              <w14:schemeClr w14:val="tx1"/>
            </w14:solidFill>
          </w14:textFill>
        </w:rPr>
        <w:t xml:space="preserve"> 月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31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日前获得硕士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学位，否则取消博士入学资格。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5" w:after="0" w:line="304" w:lineRule="auto"/>
        <w:ind w:left="220" w:right="237" w:firstLine="48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录取为硕博连读博士研究生的，不做硕士学位论文，不授予硕士学位。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>录取为硕博连读博士研究生的，不再批准转回硕士培养。硕博连读博士研究生学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位论文未达到博士学位的要求但符合硕士学位水平的，可申请硕士学位。通过硕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士学位论文答辩后，颁发硕士学位研究生毕业证书，授予硕士学位。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0" w:after="0" w:line="302" w:lineRule="auto"/>
        <w:ind w:left="220" w:right="240" w:firstLine="48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招收硕博连读和申请审核制博士研究生的导师，原则上应为博士研究生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提供相应的助研经费。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3" w:after="0" w:line="240" w:lineRule="auto"/>
        <w:ind w:left="1061" w:right="0" w:hanging="361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本办法由安徽大学徽文院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选拔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>小组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负责解释。</w:t>
      </w:r>
    </w:p>
    <w:p>
      <w:pPr>
        <w:pStyle w:val="4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65"/>
        <w:ind w:left="0" w:right="237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徽学与中国传统文化研究院</w:t>
      </w:r>
    </w:p>
    <w:p>
      <w:pPr>
        <w:pStyle w:val="4"/>
        <w:spacing w:before="81"/>
        <w:ind w:left="0" w:right="237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40"/>
          <w14:textFill>
            <w14:solidFill>
              <w14:schemeClr w14:val="tx1"/>
            </w14:solidFill>
          </w14:textFill>
        </w:rPr>
        <w:t xml:space="preserve">年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:spacing w:val="-41"/>
          <w14:textFill>
            <w14:solidFill>
              <w14:schemeClr w14:val="tx1"/>
            </w14:solidFill>
          </w14:textFill>
        </w:rPr>
        <w:t xml:space="preserve"> 月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日</w:t>
      </w:r>
    </w:p>
    <w:p>
      <w:pPr>
        <w:spacing w:after="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1420" w:right="1560" w:bottom="1180" w:left="1580" w:header="0" w:footer="1000" w:gutter="0"/>
          <w:cols w:space="720" w:num="1"/>
        </w:sectPr>
      </w:pPr>
    </w:p>
    <w:p>
      <w:pPr>
        <w:pStyle w:val="4"/>
        <w:spacing w:before="39"/>
        <w:ind w:left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spacing w:before="95" w:line="316" w:lineRule="auto"/>
        <w:ind w:left="2572" w:right="1028" w:hanging="98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年安徽大学徽文院（中国史）硕博连读与申请审核制博士研究生选拔学术科研成绩计分细则</w:t>
      </w:r>
    </w:p>
    <w:p>
      <w:pPr>
        <w:pStyle w:val="4"/>
        <w:spacing w:before="6"/>
        <w:ind w:left="0"/>
        <w:rPr>
          <w:b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66" w:line="360" w:lineRule="auto"/>
        <w:ind w:right="237" w:firstLine="48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 xml:space="preserve">根据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2017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年公布的《安徽大学人文社会科学类学术成果和科研项目分类评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价认定标准》（校政〔2017〕30 号，以下简称《人文社科学术成果标准》）和徽文院实际情况制定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此计分细则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一、学术论文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98" w:after="0" w:line="360" w:lineRule="auto"/>
        <w:ind w:left="220" w:right="145" w:firstLine="48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在《中国社会科学》、《历史研究》两大期刊发表学术论文且为第一作者，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原则上可以直接录取。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0" w:after="0" w:line="360" w:lineRule="auto"/>
        <w:ind w:left="220" w:right="237" w:firstLine="48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sz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《人文社科学术成果标准》</w:t>
      </w:r>
      <w:r>
        <w:rPr>
          <w:rFonts w:hint="eastAsia"/>
          <w:color w:val="000000" w:themeColor="text1"/>
          <w:spacing w:val="-6"/>
          <w:sz w:val="24"/>
          <w:lang w:val="en-US" w:eastAsia="zh-CN"/>
          <w14:textFill>
            <w14:solidFill>
              <w14:schemeClr w14:val="tx1"/>
            </w14:solidFill>
          </w14:textFill>
        </w:rPr>
        <w:t>规定的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“四类”</w:t>
      </w:r>
      <w:r>
        <w:rPr>
          <w:rFonts w:hint="eastAsia"/>
          <w:color w:val="000000" w:themeColor="text1"/>
          <w:spacing w:val="-6"/>
          <w:sz w:val="24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学术刊物</w:t>
      </w:r>
      <w:r>
        <w:rPr>
          <w:rFonts w:hint="eastAsia"/>
          <w:color w:val="000000" w:themeColor="text1"/>
          <w:spacing w:val="-6"/>
          <w:sz w:val="24"/>
          <w:lang w:val="en-US" w:eastAsia="zh-CN"/>
          <w14:textFill>
            <w14:solidFill>
              <w14:schemeClr w14:val="tx1"/>
            </w14:solidFill>
          </w14:textFill>
        </w:rPr>
        <w:t>发表的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相关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>学术论文</w:t>
      </w:r>
      <w:r>
        <w:rPr>
          <w:rFonts w:hint="eastAsia"/>
          <w:color w:val="000000" w:themeColor="text1"/>
          <w:spacing w:val="-1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10"/>
          <w:sz w:val="24"/>
          <w:lang w:val="en-US" w:eastAsia="zh-CN"/>
          <w14:textFill>
            <w14:solidFill>
              <w14:schemeClr w14:val="tx1"/>
            </w14:solidFill>
          </w14:textFill>
        </w:rPr>
        <w:t>每篇计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20"/>
          <w:sz w:val="24"/>
          <w14:textFill>
            <w14:solidFill>
              <w14:schemeClr w14:val="tx1"/>
            </w14:solidFill>
          </w14:textFill>
        </w:rPr>
        <w:t>分。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98" w:after="0" w:line="360" w:lineRule="auto"/>
        <w:ind w:left="220" w:right="145" w:firstLine="480"/>
        <w:jc w:val="left"/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CSSCI 扩展版发表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相关学术论文，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每篇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计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0分</w:t>
      </w:r>
      <w:r>
        <w:rPr>
          <w:rFonts w:hint="eastAsia"/>
          <w:color w:val="000000" w:themeColor="text1"/>
          <w:spacing w:val="-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徽学中心编《徽学》辑刊内论文，其分值等同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CSSCI 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扩展版，同一作者仅计1篇，其余按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“四类”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以下刊物论文计分。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98" w:after="0" w:line="360" w:lineRule="auto"/>
        <w:ind w:left="220" w:right="145" w:firstLine="480"/>
        <w:jc w:val="left"/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发表在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《人文社科学术成果标准》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规定的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“四类”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学术刊物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相关学术论文，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每篇计2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0分。“四类”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以下论文计分不超过</w:t>
      </w:r>
      <w:r>
        <w:rPr>
          <w:rFonts w:hint="eastAsia"/>
          <w:b/>
          <w:bCs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篇。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98" w:after="0" w:line="360" w:lineRule="auto"/>
        <w:ind w:left="220" w:right="145" w:firstLine="480"/>
        <w:jc w:val="both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报纸理论版上发表的学术论文参照《人文社科学术成果标准》和本办法中的规定。</w:t>
      </w:r>
    </w:p>
    <w:p>
      <w:pPr>
        <w:pStyle w:val="8"/>
        <w:numPr>
          <w:ilvl w:val="0"/>
          <w:numId w:val="0"/>
        </w:numPr>
        <w:tabs>
          <w:tab w:val="left" w:pos="941"/>
          <w:tab w:val="left" w:pos="5979"/>
        </w:tabs>
        <w:spacing w:before="96" w:after="0" w:line="360" w:lineRule="auto"/>
        <w:ind w:left="700" w:leftChars="0" w:right="2005" w:rightChars="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、科研成绩计分说明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360" w:lineRule="auto"/>
        <w:ind w:left="220" w:leftChars="100" w:right="0" w:rightChars="0" w:firstLine="482" w:firstLineChars="0"/>
        <w:jc w:val="both"/>
        <w:textAlignment w:val="auto"/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1.科研成绩总分不超过100分。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360" w:lineRule="auto"/>
        <w:ind w:left="220" w:leftChars="100" w:right="0" w:rightChars="0" w:firstLine="482" w:firstLineChars="0"/>
        <w:jc w:val="both"/>
        <w:textAlignment w:val="auto"/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2.论文须公开正式发表；其中，发表在刊物上的学术论文，字数不少于4000字；发表在报纸理论版上的学术论文，字数不少于2000字。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360" w:lineRule="auto"/>
        <w:ind w:left="220" w:leftChars="100" w:right="0" w:rightChars="0" w:firstLine="482" w:firstLineChars="0"/>
        <w:jc w:val="both"/>
        <w:textAlignment w:val="auto"/>
        <w:rPr>
          <w:rFonts w:hint="default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3.论文级别由招生单位教授委员会进行认定。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360" w:lineRule="auto"/>
        <w:ind w:left="220" w:leftChars="100" w:right="0" w:rightChars="0" w:firstLine="482" w:firstLineChars="0"/>
        <w:jc w:val="both"/>
        <w:textAlignment w:val="auto"/>
        <w:rPr>
          <w:rFonts w:hint="default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4"/>
          <w:lang w:val="en-US" w:eastAsia="zh-CN"/>
          <w14:textFill>
            <w14:solidFill>
              <w14:schemeClr w14:val="tx1"/>
            </w14:solidFill>
          </w14:textFill>
        </w:rPr>
        <w:t>4.与导师合作发表的论文，按独著分值计算。与非导师合作的论文，分配比例参见下表：</w:t>
      </w:r>
    </w:p>
    <w:p>
      <w:pPr>
        <w:pStyle w:val="8"/>
        <w:widowControl w:val="0"/>
        <w:numPr>
          <w:ilvl w:val="0"/>
          <w:numId w:val="0"/>
        </w:numPr>
        <w:tabs>
          <w:tab w:val="left" w:pos="941"/>
        </w:tabs>
        <w:autoSpaceDE w:val="0"/>
        <w:autoSpaceDN w:val="0"/>
        <w:spacing w:before="98" w:after="0" w:line="360" w:lineRule="auto"/>
        <w:ind w:right="145" w:rightChars="0"/>
        <w:jc w:val="left"/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941"/>
        </w:tabs>
        <w:autoSpaceDE w:val="0"/>
        <w:autoSpaceDN w:val="0"/>
        <w:spacing w:before="0" w:after="0" w:line="240" w:lineRule="auto"/>
        <w:ind w:right="0" w:rightChars="0"/>
        <w:jc w:val="left"/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80" w:right="1560" w:bottom="1180" w:left="1580" w:header="0" w:footer="1000" w:gutter="0"/>
          <w:cols w:space="720" w:num="1"/>
        </w:sectPr>
      </w:pPr>
    </w:p>
    <w:p>
      <w:pPr>
        <w:pStyle w:val="8"/>
        <w:numPr>
          <w:ilvl w:val="0"/>
          <w:numId w:val="0"/>
        </w:numPr>
        <w:tabs>
          <w:tab w:val="left" w:pos="941"/>
        </w:tabs>
        <w:spacing w:before="39" w:after="0" w:line="631" w:lineRule="auto"/>
        <w:ind w:right="1105" w:rightChars="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tabs>
          <w:tab w:val="left" w:pos="941"/>
        </w:tabs>
        <w:spacing w:before="39" w:after="0" w:line="631" w:lineRule="auto"/>
        <w:ind w:right="1105" w:rightChars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908050</wp:posOffset>
            </wp:positionV>
            <wp:extent cx="5106035" cy="2286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137" cy="2286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两人以上共同完成科研成果计分分配比例</w:t>
      </w: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480" w:right="1560" w:bottom="1180" w:left="1580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9917430</wp:posOffset>
              </wp:positionV>
              <wp:extent cx="10795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0.9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4/LK9gAAAANAQAADwAAAAAAAAABACAAAAAiAAAAZHJzL2Rvd25yZXYueG1sUEsBAhQA&#10;FAAAAAgAh07iQPWBVsO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0" w:hanging="241"/>
        <w:jc w:val="left"/>
      </w:pPr>
      <w:rPr>
        <w:rFonts w:hint="default" w:ascii="宋体" w:hAnsi="宋体" w:eastAsia="宋体" w:cs="宋体"/>
        <w:spacing w:val="-1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4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1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4" w:hanging="36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0" w:hanging="361"/>
        <w:jc w:val="left"/>
      </w:pPr>
      <w:rPr>
        <w:rFonts w:hint="default" w:ascii="宋体" w:hAnsi="宋体" w:eastAsia="宋体" w:cs="宋体"/>
        <w:spacing w:val="-48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4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6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0965"/>
    <w:rsid w:val="042E399F"/>
    <w:rsid w:val="05FA033F"/>
    <w:rsid w:val="060230FD"/>
    <w:rsid w:val="09DD753D"/>
    <w:rsid w:val="09F94817"/>
    <w:rsid w:val="0FEF5A76"/>
    <w:rsid w:val="1528666B"/>
    <w:rsid w:val="179E0AB6"/>
    <w:rsid w:val="1B037B7D"/>
    <w:rsid w:val="1C0A50BB"/>
    <w:rsid w:val="1E080BED"/>
    <w:rsid w:val="1F61192E"/>
    <w:rsid w:val="21434E23"/>
    <w:rsid w:val="229E29F6"/>
    <w:rsid w:val="236E6BA7"/>
    <w:rsid w:val="2931206B"/>
    <w:rsid w:val="29EA6C27"/>
    <w:rsid w:val="2E25050C"/>
    <w:rsid w:val="2F8E1F35"/>
    <w:rsid w:val="2FDB3279"/>
    <w:rsid w:val="34FC10A8"/>
    <w:rsid w:val="35505044"/>
    <w:rsid w:val="36BF12D6"/>
    <w:rsid w:val="377C0A4D"/>
    <w:rsid w:val="37B32F9E"/>
    <w:rsid w:val="38A2613E"/>
    <w:rsid w:val="3CA40F74"/>
    <w:rsid w:val="3FF90202"/>
    <w:rsid w:val="41764071"/>
    <w:rsid w:val="423129CE"/>
    <w:rsid w:val="425922D2"/>
    <w:rsid w:val="4B591B08"/>
    <w:rsid w:val="507E7976"/>
    <w:rsid w:val="55987213"/>
    <w:rsid w:val="55F83213"/>
    <w:rsid w:val="560A7307"/>
    <w:rsid w:val="58D2352B"/>
    <w:rsid w:val="607D726C"/>
    <w:rsid w:val="629510DD"/>
    <w:rsid w:val="63750765"/>
    <w:rsid w:val="6FBD7AD9"/>
    <w:rsid w:val="70691A25"/>
    <w:rsid w:val="74901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04" w:lineRule="exact"/>
      <w:ind w:left="70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0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2020-12-21T03:14:00Z</dcterms:created>
  <dc:creator>huzhongsheng</dc:creator>
  <cp:lastModifiedBy>Administrator</cp:lastModifiedBy>
  <dcterms:modified xsi:type="dcterms:W3CDTF">2021-12-20T02:11:55Z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05125D64E457465BAA6A29B59BB138AF</vt:lpwstr>
  </property>
</Properties>
</file>